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03FD4">
      <w:pPr>
        <w:spacing w:after="0" w:line="240" w:lineRule="auto"/>
        <w:jc w:val="center"/>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11004CB7" w:rsidR="00CD27CC" w:rsidRPr="0069452E" w:rsidRDefault="00CD27CC" w:rsidP="00AD45C1">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AD45C1">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59A4359D" w:rsidR="00CD27CC" w:rsidRPr="0069452E" w:rsidRDefault="00AD45C1"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007</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2D7C6F7A" w:rsidR="00FA2FE5" w:rsidRDefault="00690AF3"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et pose de revêtements de sol</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08DCDE38" w:rsidR="008B2296" w:rsidRPr="0069452E" w:rsidRDefault="00AD45C1"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sidRPr="00AD45C1">
            <w:rPr>
              <w:rFonts w:ascii="Tahoma" w:hAnsi="Tahoma" w:cs="Tahoma"/>
              <w:b/>
              <w:bCs/>
              <w:color w:val="1F497D"/>
              <w:sz w:val="28"/>
              <w:szCs w:val="28"/>
            </w:rPr>
            <w:t>Procédure adaptée (Art. R.2123-1 à R.2123-7)</w:t>
          </w:r>
        </w:p>
      </w:sdtContent>
    </w:sdt>
    <w:p w14:paraId="6B765E09" w14:textId="6B705025" w:rsidR="008B2296" w:rsidRDefault="008B2296"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333399"/>
          <w:sz w:val="28"/>
          <w:szCs w:val="28"/>
        </w:rPr>
      </w:pPr>
    </w:p>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423D6582" w:rsidR="00CD27CC" w:rsidRPr="00655FE0" w:rsidRDefault="004D0D61"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Juin</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00203FD4">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35E69A24" w:rsidR="00CD27CC" w:rsidRPr="00AD45C1" w:rsidRDefault="00ED3C46"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45C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48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7CAB08B3" w:rsidR="00CD27CC" w:rsidRPr="00AD45C1" w:rsidRDefault="00B25E01" w:rsidP="00203FD4">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45C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AD45C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AD45C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AD45C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D45C1" w:rsidRPr="00AD45C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655FE0" w:rsidRPr="00AD45C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00 000</w:t>
            </w:r>
            <w:r w:rsidRPr="00AD45C1">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79EE64E8" w14:textId="3948B244" w:rsidR="00C577BB" w:rsidRPr="00ED3C46" w:rsidRDefault="002253DE" w:rsidP="00ED3C46">
      <w:pPr>
        <w:pStyle w:val="Titre1"/>
      </w:pPr>
      <w:r w:rsidRPr="00377027">
        <w:lastRenderedPageBreak/>
        <w:t>Engagement du titulaire</w:t>
      </w: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500B45">
        <w:rPr>
          <w:rFonts w:ascii="Tahoma" w:hAnsi="Tahoma" w:cs="Tahoma"/>
          <w:szCs w:val="24"/>
        </w:rPr>
      </w:r>
      <w:r w:rsidR="00500B45">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500B45">
        <w:rPr>
          <w:rFonts w:ascii="Tahoma" w:hAnsi="Tahoma" w:cs="Tahoma"/>
          <w:iCs/>
        </w:rPr>
      </w:r>
      <w:r w:rsidR="00500B45">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500B45">
        <w:rPr>
          <w:rFonts w:ascii="Tahoma" w:hAnsi="Tahoma" w:cs="Tahoma"/>
          <w:iCs/>
        </w:rPr>
      </w:r>
      <w:r w:rsidR="00500B45">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500B45">
        <w:rPr>
          <w:rFonts w:ascii="Tahoma" w:hAnsi="Tahoma" w:cs="Tahoma"/>
          <w:sz w:val="22"/>
          <w:szCs w:val="22"/>
        </w:rPr>
      </w:r>
      <w:r w:rsidR="00500B45">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0" w:name="CaseACocher111"/>
      <w:r w:rsidR="00C301B0">
        <w:rPr>
          <w:rFonts w:ascii="Tahoma" w:hAnsi="Tahoma" w:cs="Tahoma"/>
          <w:sz w:val="22"/>
          <w:szCs w:val="22"/>
        </w:rPr>
        <w:instrText xml:space="preserve"> FORMCHECKBOX </w:instrText>
      </w:r>
      <w:r w:rsidR="00500B45">
        <w:rPr>
          <w:rFonts w:ascii="Tahoma" w:hAnsi="Tahoma" w:cs="Tahoma"/>
          <w:sz w:val="22"/>
          <w:szCs w:val="22"/>
        </w:rPr>
      </w:r>
      <w:r w:rsidR="00500B45">
        <w:rPr>
          <w:rFonts w:ascii="Tahoma" w:hAnsi="Tahoma" w:cs="Tahoma"/>
          <w:sz w:val="22"/>
          <w:szCs w:val="22"/>
        </w:rPr>
        <w:fldChar w:fldCharType="separate"/>
      </w:r>
      <w:r w:rsidR="00C301B0">
        <w:rPr>
          <w:rFonts w:ascii="Tahoma" w:hAnsi="Tahoma" w:cs="Tahoma"/>
          <w:sz w:val="22"/>
          <w:szCs w:val="22"/>
        </w:rPr>
        <w:fldChar w:fldCharType="end"/>
      </w:r>
      <w:bookmarkEnd w:id="0"/>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46F918BC"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5D36AFC0" w14:textId="19982024" w:rsidR="00203FD4" w:rsidRDefault="00203FD4" w:rsidP="00203FD4">
      <w:pPr>
        <w:tabs>
          <w:tab w:val="left" w:pos="426"/>
        </w:tabs>
        <w:spacing w:before="60" w:after="60" w:line="240" w:lineRule="auto"/>
        <w:jc w:val="both"/>
        <w:rPr>
          <w:rFonts w:ascii="Tahoma" w:hAnsi="Tahoma" w:cs="Tahoma"/>
        </w:rPr>
      </w:pPr>
    </w:p>
    <w:p w14:paraId="7C15B601" w14:textId="3168B4C5" w:rsidR="00203FD4" w:rsidRDefault="00203FD4" w:rsidP="00203FD4">
      <w:pPr>
        <w:tabs>
          <w:tab w:val="left" w:pos="426"/>
        </w:tabs>
        <w:spacing w:before="60" w:after="60" w:line="240" w:lineRule="auto"/>
        <w:jc w:val="both"/>
        <w:rPr>
          <w:rFonts w:ascii="Tahoma" w:hAnsi="Tahoma" w:cs="Tahoma"/>
        </w:rPr>
      </w:pPr>
    </w:p>
    <w:p w14:paraId="18EBC50E" w14:textId="79B60B1B" w:rsidR="00203FD4" w:rsidRDefault="00203FD4" w:rsidP="00203FD4">
      <w:pPr>
        <w:tabs>
          <w:tab w:val="left" w:pos="426"/>
        </w:tabs>
        <w:spacing w:before="60" w:after="60" w:line="240" w:lineRule="auto"/>
        <w:jc w:val="both"/>
        <w:rPr>
          <w:rFonts w:ascii="Tahoma" w:hAnsi="Tahoma" w:cs="Tahoma"/>
        </w:rPr>
      </w:pPr>
    </w:p>
    <w:p w14:paraId="57D5102E" w14:textId="77777777" w:rsidR="00203FD4" w:rsidRDefault="00203FD4" w:rsidP="00203FD4">
      <w:pPr>
        <w:tabs>
          <w:tab w:val="left" w:pos="426"/>
        </w:tabs>
        <w:spacing w:before="60" w:after="60" w:line="240" w:lineRule="auto"/>
        <w:jc w:val="both"/>
        <w:rPr>
          <w:rFonts w:ascii="Tahoma" w:hAnsi="Tahoma" w:cs="Tahoma"/>
        </w:rPr>
      </w:pPr>
    </w:p>
    <w:p w14:paraId="06831402" w14:textId="213D3FC0"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500B45">
        <w:rPr>
          <w:rFonts w:ascii="Tahoma" w:hAnsi="Tahoma" w:cs="Tahoma"/>
          <w:sz w:val="22"/>
          <w:szCs w:val="22"/>
        </w:rPr>
      </w:r>
      <w:r w:rsidR="00500B45">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00B45">
        <w:rPr>
          <w:rFonts w:ascii="Tahoma" w:hAnsi="Tahoma" w:cs="Tahoma"/>
        </w:rPr>
      </w:r>
      <w:r w:rsidR="00500B45">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06FA88A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991157">
        <w:rPr>
          <w:rFonts w:ascii="Tahoma" w:hAnsi="Tahoma" w:cs="Tahoma"/>
          <w:color w:val="000000"/>
        </w:rPr>
        <w:t>Le</w:t>
      </w:r>
      <w:r w:rsidRPr="00875E07">
        <w:rPr>
          <w:rFonts w:ascii="Tahoma" w:hAnsi="Tahoma" w:cs="Tahoma"/>
          <w:color w:val="000000"/>
        </w:rPr>
        <w:t xml:space="preserve"> Directeur de l'Institut polaire français, </w:t>
      </w:r>
      <w:r w:rsidRPr="00875E07">
        <w:rPr>
          <w:rFonts w:ascii="Tahoma" w:hAnsi="Tahoma" w:cs="Tahoma"/>
          <w:bCs/>
          <w:color w:val="000000"/>
        </w:rPr>
        <w:t xml:space="preserve">nommé </w:t>
      </w:r>
      <w:r w:rsidR="00500B45" w:rsidRPr="00875E07">
        <w:rPr>
          <w:rFonts w:ascii="Tahoma" w:hAnsi="Tahoma" w:cs="Tahoma"/>
          <w:bCs/>
          <w:color w:val="000000"/>
        </w:rPr>
        <w:t xml:space="preserve">par </w:t>
      </w:r>
      <w:r w:rsidR="00500B45">
        <w:rPr>
          <w:rFonts w:ascii="Tahoma" w:hAnsi="Tahoma" w:cs="Tahoma"/>
          <w:bCs/>
          <w:color w:val="000000"/>
        </w:rPr>
        <w:t>l'Assemblée générale</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bookmarkStart w:id="1" w:name="_GoBack"/>
      <w:bookmarkEnd w:id="1"/>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0A8F9F6"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500B45">
        <w:rPr>
          <w:rFonts w:ascii="Tahoma" w:hAnsi="Tahoma" w:cs="Tahoma"/>
          <w:i/>
          <w:iCs/>
        </w:rPr>
      </w:r>
      <w:r w:rsidR="00500B45">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w:t>
      </w:r>
      <w:r w:rsidR="008C650C">
        <w:rPr>
          <w:rFonts w:ascii="Tahoma" w:hAnsi="Tahoma" w:cs="Tahoma"/>
          <w:i/>
          <w:iCs/>
        </w:rPr>
        <w:t>x</w:t>
      </w:r>
      <w:r w:rsidR="00C301B0" w:rsidRPr="00C301B0">
        <w:rPr>
          <w:rFonts w:ascii="Tahoma" w:hAnsi="Tahoma" w:cs="Tahoma"/>
          <w:i/>
          <w:iCs/>
        </w:rPr>
        <w:t xml:space="preserve"> des prix</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500B45">
        <w:rPr>
          <w:rFonts w:ascii="Tahoma" w:hAnsi="Tahoma" w:cs="Tahoma"/>
          <w:i/>
          <w:iCs/>
        </w:rPr>
      </w:r>
      <w:r w:rsidR="00500B45">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79342082"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500B45"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236DB781" w:rsidR="00C91322" w:rsidRDefault="00C91322" w:rsidP="009C4627">
    <w:pPr>
      <w:pStyle w:val="Pieddepage"/>
      <w:jc w:val="center"/>
    </w:pPr>
    <w:r>
      <w:fldChar w:fldCharType="begin"/>
    </w:r>
    <w:r>
      <w:instrText>PAGE   \* MERGEFORMAT</w:instrText>
    </w:r>
    <w:r>
      <w:fldChar w:fldCharType="separate"/>
    </w:r>
    <w:r w:rsidR="00500B45">
      <w:rPr>
        <w:noProof/>
      </w:rPr>
      <w:t>5</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7A69673B" w:rsidR="009C4627" w:rsidRDefault="009C4627">
        <w:pPr>
          <w:pStyle w:val="Pieddepage"/>
          <w:jc w:val="center"/>
        </w:pPr>
        <w:r>
          <w:fldChar w:fldCharType="begin"/>
        </w:r>
        <w:r>
          <w:instrText>PAGE   \* MERGEFORMAT</w:instrText>
        </w:r>
        <w:r>
          <w:fldChar w:fldCharType="separate"/>
        </w:r>
        <w:r w:rsidR="00500B45">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03FD4"/>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1F9C"/>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0D61"/>
    <w:rsid w:val="004D4D70"/>
    <w:rsid w:val="004D7F7C"/>
    <w:rsid w:val="004F72A0"/>
    <w:rsid w:val="00500B45"/>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0AF3"/>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37FC5"/>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C7D04"/>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635F"/>
    <w:rsid w:val="00874D3C"/>
    <w:rsid w:val="00881B64"/>
    <w:rsid w:val="00890FB8"/>
    <w:rsid w:val="008912AF"/>
    <w:rsid w:val="00892DF3"/>
    <w:rsid w:val="00896BAF"/>
    <w:rsid w:val="008B2296"/>
    <w:rsid w:val="008B4745"/>
    <w:rsid w:val="008B50CA"/>
    <w:rsid w:val="008C1F4D"/>
    <w:rsid w:val="008C3E9D"/>
    <w:rsid w:val="008C5137"/>
    <w:rsid w:val="008C650C"/>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1157"/>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D45C1"/>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3C46"/>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6B97E-1D59-4A64-B174-17DD91DB7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1194</Words>
  <Characters>6572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26</cp:revision>
  <cp:lastPrinted>2025-02-28T13:39:00Z</cp:lastPrinted>
  <dcterms:created xsi:type="dcterms:W3CDTF">2023-10-06T08:41:00Z</dcterms:created>
  <dcterms:modified xsi:type="dcterms:W3CDTF">2025-04-25T07:18:00Z</dcterms:modified>
</cp:coreProperties>
</file>